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CC" w:rsidRDefault="006154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154CC" w:rsidRDefault="006154CC">
      <w:pPr>
        <w:pStyle w:val="ConsPlusNormal"/>
        <w:jc w:val="both"/>
        <w:outlineLvl w:val="0"/>
      </w:pPr>
    </w:p>
    <w:p w:rsidR="006154CC" w:rsidRDefault="006154CC">
      <w:pPr>
        <w:pStyle w:val="ConsPlusNormal"/>
        <w:outlineLvl w:val="0"/>
      </w:pPr>
      <w:r>
        <w:t>Зарегистрировано в Минюсте России 17 сентября 2021 г. N 65037</w:t>
      </w:r>
    </w:p>
    <w:p w:rsidR="006154CC" w:rsidRDefault="006154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Title"/>
        <w:jc w:val="center"/>
      </w:pPr>
      <w:r>
        <w:t>ФЕДЕРАЛЬНАЯ СЛУЖБА ГОСУДАРСТВЕННОЙ РЕГИСТРАЦИИ,</w:t>
      </w:r>
    </w:p>
    <w:p w:rsidR="006154CC" w:rsidRDefault="006154CC">
      <w:pPr>
        <w:pStyle w:val="ConsPlusTitle"/>
        <w:jc w:val="center"/>
      </w:pPr>
      <w:r>
        <w:t>КАДАСТРА И КАРТОГРАФИИ</w:t>
      </w:r>
    </w:p>
    <w:p w:rsidR="006154CC" w:rsidRDefault="006154CC">
      <w:pPr>
        <w:pStyle w:val="ConsPlusTitle"/>
        <w:jc w:val="center"/>
      </w:pPr>
    </w:p>
    <w:p w:rsidR="006154CC" w:rsidRDefault="006154CC">
      <w:pPr>
        <w:pStyle w:val="ConsPlusTitle"/>
        <w:jc w:val="center"/>
      </w:pPr>
      <w:r>
        <w:t>ПРИКАЗ</w:t>
      </w:r>
    </w:p>
    <w:p w:rsidR="006154CC" w:rsidRDefault="006154CC">
      <w:pPr>
        <w:pStyle w:val="ConsPlusTitle"/>
        <w:jc w:val="center"/>
      </w:pPr>
      <w:r>
        <w:t>от 24 мая 2021 г. N П/0216</w:t>
      </w:r>
    </w:p>
    <w:p w:rsidR="006154CC" w:rsidRDefault="006154CC">
      <w:pPr>
        <w:pStyle w:val="ConsPlusTitle"/>
        <w:jc w:val="center"/>
      </w:pPr>
    </w:p>
    <w:p w:rsidR="006154CC" w:rsidRDefault="006154CC">
      <w:pPr>
        <w:pStyle w:val="ConsPlusTitle"/>
        <w:jc w:val="center"/>
      </w:pPr>
      <w:r>
        <w:t>ОБ УТВЕРЖДЕНИИ ПОРЯДКА</w:t>
      </w:r>
    </w:p>
    <w:p w:rsidR="006154CC" w:rsidRDefault="006154CC">
      <w:pPr>
        <w:pStyle w:val="ConsPlusTitle"/>
        <w:jc w:val="center"/>
      </w:pPr>
      <w:r>
        <w:t>РАССМОТРЕНИЯ ДЕКЛАРАЦИИ О ХАРАКТЕРИСТИКАХ ОБЪЕКТА</w:t>
      </w:r>
    </w:p>
    <w:p w:rsidR="006154CC" w:rsidRDefault="006154CC">
      <w:pPr>
        <w:pStyle w:val="ConsPlusTitle"/>
        <w:jc w:val="center"/>
      </w:pPr>
      <w:r>
        <w:t>НЕДВИЖИМОСТИ, В ТОМ ЧИСЛЕ ЕЕ ФОРМЫ</w:t>
      </w: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 статьи 12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4170) и </w:t>
      </w:r>
      <w:hyperlink r:id="rId6">
        <w:r>
          <w:rPr>
            <w:color w:val="0000FF"/>
          </w:rPr>
          <w:t>подпунктом 5.26(7) пункта 5</w:t>
        </w:r>
      </w:hyperlink>
      <w:r>
        <w:t xml:space="preserve"> Положения о Федеральной службе государственной регистрации, кадастра и картографии, утвержденного постановлением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1. Утвердить:</w:t>
      </w:r>
    </w:p>
    <w:p w:rsidR="006154CC" w:rsidRDefault="006154CC">
      <w:pPr>
        <w:pStyle w:val="ConsPlusNormal"/>
        <w:spacing w:before="200"/>
        <w:ind w:firstLine="540"/>
        <w:jc w:val="both"/>
      </w:pPr>
      <w:hyperlink w:anchor="P31">
        <w:r>
          <w:rPr>
            <w:color w:val="0000FF"/>
          </w:rPr>
          <w:t>Порядок</w:t>
        </w:r>
      </w:hyperlink>
      <w:r>
        <w:t xml:space="preserve"> рассмотрения декларации о характеристиках объекта недвижимости (приложение N 1);</w:t>
      </w:r>
    </w:p>
    <w:p w:rsidR="006154CC" w:rsidRDefault="006154CC">
      <w:pPr>
        <w:pStyle w:val="ConsPlusNormal"/>
        <w:spacing w:before="200"/>
        <w:ind w:firstLine="540"/>
        <w:jc w:val="both"/>
      </w:pPr>
      <w:hyperlink w:anchor="P96">
        <w:r>
          <w:rPr>
            <w:color w:val="0000FF"/>
          </w:rPr>
          <w:t>форму</w:t>
        </w:r>
      </w:hyperlink>
      <w:r>
        <w:t xml:space="preserve"> декларации о характеристиках объекта недвижимости (приложение N 2).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r:id="rId7">
        <w:r>
          <w:rPr>
            <w:color w:val="0000FF"/>
          </w:rPr>
          <w:t>приказа</w:t>
        </w:r>
      </w:hyperlink>
      <w:r>
        <w:t xml:space="preserve"> Минэкономразвития России от 4 июня 2019 г. N 318 "Об утверждении порядка рассмотрения декларации о характеристиках объекта недвижимости, в том числе ее формы" (зарегистрирован Минюстом России 23 сентября 2019 г., регистрационный N 56006).</w:t>
      </w: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right"/>
      </w:pPr>
      <w:r>
        <w:t>Руководитель</w:t>
      </w:r>
    </w:p>
    <w:p w:rsidR="006154CC" w:rsidRDefault="006154CC">
      <w:pPr>
        <w:pStyle w:val="ConsPlusNormal"/>
        <w:jc w:val="right"/>
      </w:pPr>
      <w:r>
        <w:t>О.А.СКУФИНСКИЙ</w:t>
      </w: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right"/>
        <w:outlineLvl w:val="0"/>
      </w:pPr>
      <w:r>
        <w:t>Приложение N 1</w:t>
      </w:r>
    </w:p>
    <w:p w:rsidR="006154CC" w:rsidRDefault="006154CC">
      <w:pPr>
        <w:pStyle w:val="ConsPlusNormal"/>
        <w:jc w:val="right"/>
      </w:pPr>
      <w:r>
        <w:t>к приказу Росреестра</w:t>
      </w:r>
    </w:p>
    <w:p w:rsidR="006154CC" w:rsidRDefault="006154CC">
      <w:pPr>
        <w:pStyle w:val="ConsPlusNormal"/>
        <w:jc w:val="right"/>
      </w:pPr>
      <w:r>
        <w:t>от 24 мая 2021 г. N П/0216</w:t>
      </w: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Title"/>
        <w:jc w:val="center"/>
      </w:pPr>
      <w:bookmarkStart w:id="0" w:name="P31"/>
      <w:bookmarkEnd w:id="0"/>
      <w:r>
        <w:t>ПОРЯДОК</w:t>
      </w:r>
    </w:p>
    <w:p w:rsidR="006154CC" w:rsidRDefault="006154CC">
      <w:pPr>
        <w:pStyle w:val="ConsPlusTitle"/>
        <w:jc w:val="center"/>
      </w:pPr>
      <w:r>
        <w:t>РАССМОТРЕНИЯ ДЕКЛАРАЦИИ О ХАРАКТЕРИСТИКАХ</w:t>
      </w:r>
    </w:p>
    <w:p w:rsidR="006154CC" w:rsidRDefault="006154CC">
      <w:pPr>
        <w:pStyle w:val="ConsPlusTitle"/>
        <w:jc w:val="center"/>
      </w:pPr>
      <w:r>
        <w:t>ОБЪЕКТА НЕДВИЖИМОСТИ</w:t>
      </w: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Title"/>
        <w:jc w:val="center"/>
        <w:outlineLvl w:val="1"/>
      </w:pPr>
      <w:r>
        <w:t>I. Общие положения</w:t>
      </w: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ind w:firstLine="540"/>
        <w:jc w:val="both"/>
      </w:pPr>
      <w:r>
        <w:t>1. Настоящий Порядок устанавливает правила рассмотрения декларации о характеристиках объекта недвижимости (далее - декларация)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учреждение).</w:t>
      </w:r>
    </w:p>
    <w:p w:rsidR="006154CC" w:rsidRDefault="006154CC">
      <w:pPr>
        <w:pStyle w:val="ConsPlusNormal"/>
        <w:spacing w:before="200"/>
        <w:ind w:firstLine="540"/>
        <w:jc w:val="both"/>
      </w:pPr>
      <w:bookmarkStart w:id="1" w:name="P38"/>
      <w:bookmarkEnd w:id="1"/>
      <w:r>
        <w:t xml:space="preserve">2. Бюджетным учреждением рассматривается декларация, поданная правообладателем объекта недвижимости (далее - заявитель) или его представителем по </w:t>
      </w:r>
      <w:hyperlink w:anchor="P96">
        <w:r>
          <w:rPr>
            <w:color w:val="0000FF"/>
          </w:rPr>
          <w:t>форме</w:t>
        </w:r>
      </w:hyperlink>
      <w:r>
        <w:t>, предусмотренной приложением N 2 к настоящему приказу, с приложением: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1) документов (копий документов) и материалов, указание на которые содержится в декларации, в том числе подтверждающих значение (описание) характеристик, указанных в </w:t>
      </w:r>
      <w:r>
        <w:lastRenderedPageBreak/>
        <w:t>декларации;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2) выписки из Единого государственного реестра недвижимости (далее - ЕГРН), содержащей сведения об объекте недвижимости, в том числе о зарегистрированных на него правах;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r:id="rId8">
        <w:r>
          <w:rPr>
            <w:color w:val="0000FF"/>
          </w:rPr>
          <w:t>части 2 статьи 14</w:t>
        </w:r>
      </w:hyperlink>
      <w: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18, ст. 3064);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4) доверенности или иного подтверждающего полномочия представителя заявителя документа, удостоверенных в соответствии с законодательством Российской Федерации.</w:t>
      </w:r>
    </w:p>
    <w:p w:rsidR="006154CC" w:rsidRDefault="006154CC">
      <w:pPr>
        <w:pStyle w:val="ConsPlusNormal"/>
        <w:spacing w:before="200"/>
        <w:ind w:firstLine="540"/>
        <w:jc w:val="both"/>
      </w:pPr>
      <w:bookmarkStart w:id="2" w:name="P43"/>
      <w:bookmarkEnd w:id="2"/>
      <w:r>
        <w:t>3. Рассмотрению подлежит декларация, составленная: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1) на бумажном носителе, каждый лист которой заверен собственноручной подписью заявителя или его представителя;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6154CC" w:rsidRDefault="006154CC">
      <w:pPr>
        <w:pStyle w:val="ConsPlusNormal"/>
        <w:spacing w:before="200"/>
        <w:ind w:firstLine="540"/>
        <w:jc w:val="both"/>
      </w:pPr>
      <w:bookmarkStart w:id="3" w:name="P46"/>
      <w:bookmarkEnd w:id="3"/>
      <w:r>
        <w:t>4.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В качестве документов (копий документов) и материалов, прилагаемых к декларации, допускается приложение писем, справок, выписок, паспортов, актов, заключений, предоставленных в том числе органами государственной власти и органами местного самоуправления, экспертными, управляющими, ресурсоснабжающими и иными организациями, отчетов об оценке рыночной стоимости объекта оценки, судебных экспертиз, а также материалов (электронных образов страниц сайтов в информационно-телекоммуникационной сети "Интернет", фотографий, выкопировок), подтверждающих указанные в декларации характеристики.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5. Подписание декларации, подаваемой с использованием единого портала государственных и муниципальных услуг в соответствии с положениями </w:t>
      </w:r>
      <w:hyperlink r:id="rId9">
        <w:r>
          <w:rPr>
            <w:color w:val="0000FF"/>
          </w:rPr>
          <w:t>статьи 10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2021, N 1, ст. 48), усиленной квалифицированной электронной подписью заявителя или представителя заявителя не требуется.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6. Бюджетное учреждение обеспечивает принятие и рассмотрение деклараций, представленных в бюджетное учреждение или многофункциональный центр предоставления государственных и муниципальных услуг (далее - многофункциональный центр) лично или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а также регистрируемым почтовым отправлением с уведомлением о вручении.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7. Декларация не подлежит рассмотрению в соответствии с настоящим Порядком в случае, если: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1) заявитель, подавший декларацию, не является правообладателем объекта недвижимости, в отношении которого подается декларация;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2) к декларации не приложены документы (копии документов) и материалы, предусмотренные </w:t>
      </w:r>
      <w:hyperlink w:anchor="P38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3) декларация не соответствует </w:t>
      </w:r>
      <w:hyperlink w:anchor="P96">
        <w:r>
          <w:rPr>
            <w:color w:val="0000FF"/>
          </w:rPr>
          <w:t>форме</w:t>
        </w:r>
      </w:hyperlink>
      <w:r>
        <w:t>, предусмотренной приложением N 2 к настоящему приказу;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4) декларация не заверена в соответствии с </w:t>
      </w:r>
      <w:hyperlink w:anchor="P43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lastRenderedPageBreak/>
        <w:t xml:space="preserve">5) декларация и прилагаемые к ней документы (копии документов) и материалы представлены не в соответствии с требованиями, предусмотренными </w:t>
      </w:r>
      <w:hyperlink w:anchor="P46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8. В случае если декларация не подлежит рассмотрению, бюджетным учреждением заявителю (представителю заявителя) в течение 5 рабочих дней со дня ее представления направляется уведомление о причинах, по которым такая декларация не подлежит рассмотрению, с приложением документов (копий документов) и материалов, указание на которые содержится в декларации, в том числе подтверждающих значение (описание) указанных в декларации характеристик.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В случае если декларация и прилагаемые к ней документы (копии документов) и материалы были направлены в бюджетное учреждение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заявителю (представителю заявителя) в сроки, предусмотренные настоящим пунктом, направляется уведомление о причинах, по которым такая декларация не подлежит рассмотрению, без приложения документов (копий документов) и материалов, указание на которые содержится в декларации.</w:t>
      </w: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Title"/>
        <w:jc w:val="center"/>
        <w:outlineLvl w:val="1"/>
      </w:pPr>
      <w:r>
        <w:t>II. Правила рассмотрения декларации</w:t>
      </w: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ind w:firstLine="540"/>
        <w:jc w:val="both"/>
      </w:pPr>
      <w:r>
        <w:t>9. Днем представления декларации считается день ее поступления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декларации почтовой связью), либо день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В случае подачи декларации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услуг, бюджетное учреждение не позднее рабочего дня, следующего за днем поступления декларации, уведомляет заявителя (представителя заявителя) о поступлении такой декларации.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Уведомление о поступлении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</w:t>
      </w:r>
      <w:hyperlink w:anchor="P116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В случае если в декларации не указан адрес электронной почты заявителя (представителя заявителя), уведомление о поступлении декларации направляется почтовым отправлением по адресу, указанному в </w:t>
      </w:r>
      <w:hyperlink w:anchor="P116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Уведомление о поступлении декларации должно содержать кадастровый номер объекта недвижимости, в отношении которого подана декларация, входящий регистрационный номер, присвоенный бюджетным учреждением соответствующей декларации, и дату ее подачи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6154CC" w:rsidRDefault="006154CC">
      <w:pPr>
        <w:pStyle w:val="ConsPlusNormal"/>
        <w:spacing w:before="200"/>
        <w:ind w:firstLine="540"/>
        <w:jc w:val="both"/>
      </w:pPr>
      <w:bookmarkStart w:id="4" w:name="P66"/>
      <w:bookmarkEnd w:id="4"/>
      <w:r>
        <w:t>10. Декларация рассматривается в течение 30 рабочих дней со дня представления декларации.</w:t>
      </w:r>
    </w:p>
    <w:p w:rsidR="006154CC" w:rsidRDefault="006154CC">
      <w:pPr>
        <w:pStyle w:val="ConsPlusNormal"/>
        <w:spacing w:before="200"/>
        <w:ind w:firstLine="540"/>
        <w:jc w:val="both"/>
      </w:pPr>
      <w:bookmarkStart w:id="5" w:name="P67"/>
      <w:bookmarkEnd w:id="5"/>
      <w:r>
        <w:t xml:space="preserve">11. В случаях, предусмотренных </w:t>
      </w:r>
      <w:hyperlink r:id="rId10">
        <w:r>
          <w:rPr>
            <w:color w:val="0000FF"/>
          </w:rPr>
          <w:t>частью 6 статьи 12</w:t>
        </w:r>
      </w:hyperlink>
      <w:r>
        <w:t xml:space="preserve">, </w:t>
      </w:r>
      <w:hyperlink r:id="rId11">
        <w:r>
          <w:rPr>
            <w:color w:val="0000FF"/>
          </w:rPr>
          <w:t>частями 5</w:t>
        </w:r>
      </w:hyperlink>
      <w:r>
        <w:t xml:space="preserve"> и </w:t>
      </w:r>
      <w:hyperlink r:id="rId12">
        <w:r>
          <w:rPr>
            <w:color w:val="0000FF"/>
          </w:rPr>
          <w:t>20 статьи 14</w:t>
        </w:r>
      </w:hyperlink>
      <w: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заявителя (представителя заявителя), подавшего декларацию.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Уведомление о продлении срока рассмотрения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</w:t>
      </w:r>
      <w:hyperlink w:anchor="P116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В случае если в декларации не указан адрес электронной почты заявителя (представителя </w:t>
      </w:r>
      <w:r>
        <w:lastRenderedPageBreak/>
        <w:t xml:space="preserve">заявителя), уведомление о продлении срока рассмотрения декларации направляется почтовым отправлением по адресу, указанному в </w:t>
      </w:r>
      <w:hyperlink w:anchor="P116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6154CC" w:rsidRDefault="006154CC">
      <w:pPr>
        <w:pStyle w:val="ConsPlusNormal"/>
        <w:spacing w:before="200"/>
        <w:ind w:firstLine="540"/>
        <w:jc w:val="both"/>
      </w:pPr>
      <w:bookmarkStart w:id="6" w:name="P70"/>
      <w:bookmarkEnd w:id="6"/>
      <w:r>
        <w:t>12. В течение срока рассмотрения декларации бюджетное учреждение вправе: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1) использовать информацию, полученную из официальных источников, в том числе в соответствии с </w:t>
      </w:r>
      <w:hyperlink r:id="rId13">
        <w:r>
          <w:rPr>
            <w:color w:val="0000FF"/>
          </w:rPr>
          <w:t>частью 7 статьи 12</w:t>
        </w:r>
      </w:hyperlink>
      <w:r>
        <w:t xml:space="preserve">, </w:t>
      </w:r>
      <w:hyperlink r:id="rId14">
        <w:r>
          <w:rPr>
            <w:color w:val="0000FF"/>
          </w:rPr>
          <w:t>частями 6</w:t>
        </w:r>
      </w:hyperlink>
      <w:r>
        <w:t xml:space="preserve"> и </w:t>
      </w:r>
      <w:hyperlink r:id="rId15">
        <w:r>
          <w:rPr>
            <w:color w:val="0000FF"/>
          </w:rPr>
          <w:t>20 статьи 14</w:t>
        </w:r>
      </w:hyperlink>
      <w:r>
        <w:t xml:space="preserve"> Федерального закона о государственной кадастровой оценке;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2) использовать общедоступную информацию, содержащуюся на официальных сайтах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 в информационно-телекоммуникационной сети "Интернет".</w:t>
      </w:r>
    </w:p>
    <w:p w:rsidR="006154CC" w:rsidRDefault="006154CC">
      <w:pPr>
        <w:pStyle w:val="ConsPlusNormal"/>
        <w:spacing w:before="200"/>
        <w:ind w:firstLine="540"/>
        <w:jc w:val="both"/>
      </w:pPr>
      <w:bookmarkStart w:id="7" w:name="P73"/>
      <w:bookmarkEnd w:id="7"/>
      <w:r>
        <w:t xml:space="preserve">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</w:t>
      </w:r>
      <w:hyperlink w:anchor="P70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Содержащаяся в декларации информация считается подтвержденной бюджетным учреждением в случае ее соответствия сведениям и информации, имеющимся в распоряжении бюджетного учреждения, полученным в том числе в соответствии с </w:t>
      </w:r>
      <w:hyperlink w:anchor="P70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14. В случае если в ходе проверки, предусмотренной </w:t>
      </w:r>
      <w:hyperlink w:anchor="P73">
        <w:r>
          <w:rPr>
            <w:color w:val="0000FF"/>
          </w:rPr>
          <w:t>пунктом 13</w:t>
        </w:r>
      </w:hyperlink>
      <w:r>
        <w:t xml:space="preserve"> настоящего Порядка, достоверность информации, содержащейся в декларации, подтверждена, такая информация учитывается бюджетным учреждением, за исключением случая, предусмотренного </w:t>
      </w:r>
      <w:hyperlink w:anchor="P76">
        <w:r>
          <w:rPr>
            <w:color w:val="0000FF"/>
          </w:rPr>
          <w:t>пунктом 15</w:t>
        </w:r>
      </w:hyperlink>
      <w:r>
        <w:t xml:space="preserve"> настоящего Порядка.</w:t>
      </w:r>
    </w:p>
    <w:p w:rsidR="006154CC" w:rsidRDefault="006154CC">
      <w:pPr>
        <w:pStyle w:val="ConsPlusNormal"/>
        <w:spacing w:before="200"/>
        <w:ind w:firstLine="540"/>
        <w:jc w:val="both"/>
      </w:pPr>
      <w:bookmarkStart w:id="8" w:name="P76"/>
      <w:bookmarkEnd w:id="8"/>
      <w:r>
        <w:t xml:space="preserve">15. В случае если информация, содержащаяся в декларации, противоречит сведениям, содержащимся в ЕГРН, или в ходе проверки, предусмотренной </w:t>
      </w:r>
      <w:hyperlink w:anchor="P73">
        <w:r>
          <w:rPr>
            <w:color w:val="0000FF"/>
          </w:rPr>
          <w:t>пунктом 13</w:t>
        </w:r>
      </w:hyperlink>
      <w:r>
        <w:t xml:space="preserve"> настоящего Порядка, достоверность указанной информации не подтверждена, такая информация не учитывается бюджетным учреждением.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16. В случае выявления ошибок в сведениях ЕГРН бюджетное учреждение направляет сведения о выявленных ошибках 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ЕГРН, в течение 5 рабочих дней со дня истечения сроков рассмотрения декларации, предусмотренных </w:t>
      </w:r>
      <w:hyperlink w:anchor="P66">
        <w:r>
          <w:rPr>
            <w:color w:val="0000FF"/>
          </w:rPr>
          <w:t>пунктами 10</w:t>
        </w:r>
      </w:hyperlink>
      <w:r>
        <w:t xml:space="preserve"> и </w:t>
      </w:r>
      <w:hyperlink w:anchor="P67">
        <w:r>
          <w:rPr>
            <w:color w:val="0000FF"/>
          </w:rPr>
          <w:t>11</w:t>
        </w:r>
      </w:hyperlink>
      <w:r>
        <w:t xml:space="preserve"> настоящего Порядка, уведомив заявителя (представителя заявителя), подавшего декларацию.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17. В течение 5 рабочих дней со дня истечения сроков рассмотрения декларации, предусмотренных </w:t>
      </w:r>
      <w:hyperlink w:anchor="P66">
        <w:r>
          <w:rPr>
            <w:color w:val="0000FF"/>
          </w:rPr>
          <w:t>пунктами 10</w:t>
        </w:r>
      </w:hyperlink>
      <w:r>
        <w:t xml:space="preserve"> и </w:t>
      </w:r>
      <w:hyperlink w:anchor="P67">
        <w:r>
          <w:rPr>
            <w:color w:val="0000FF"/>
          </w:rPr>
          <w:t>11</w:t>
        </w:r>
      </w:hyperlink>
      <w:r>
        <w:t xml:space="preserve"> настоящего Порядка, бюджетным учреждением заявителю (представителю заявителя) направляется уведомление с указанием учтенной информации, содержащейся в декларации, а также неучтенной информации и причин, по которым она не была учтена, по адресу электронной почты (при наличии), указанному в </w:t>
      </w:r>
      <w:hyperlink w:anchor="P116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 xml:space="preserve">В случае если в декларации не указан адрес электронной почты заявителя (представителя заявителя), уведомление, предусмотренное настоящим пунктом, направляется почтовым отправлением по адресу, указанному в </w:t>
      </w:r>
      <w:hyperlink w:anchor="P116">
        <w:r>
          <w:rPr>
            <w:color w:val="0000FF"/>
          </w:rPr>
          <w:t>пункте 2.2 раздела 2</w:t>
        </w:r>
      </w:hyperlink>
      <w:r>
        <w:t xml:space="preserve"> или в </w:t>
      </w:r>
      <w:hyperlink w:anchor="P130">
        <w:r>
          <w:rPr>
            <w:color w:val="0000FF"/>
          </w:rPr>
          <w:t>пункте 3.3 раздела 3</w:t>
        </w:r>
      </w:hyperlink>
      <w:r>
        <w:t xml:space="preserve"> декларации, форма которой приведена в приложении N 2 к настоящему приказу.</w:t>
      </w:r>
    </w:p>
    <w:p w:rsidR="006154CC" w:rsidRDefault="006154CC">
      <w:pPr>
        <w:pStyle w:val="ConsPlusNormal"/>
        <w:spacing w:before="200"/>
        <w:ind w:firstLine="540"/>
        <w:jc w:val="both"/>
      </w:pPr>
      <w:r>
        <w:t>18.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бюджетным учреждением на своем официальном сайте в информационно-телекоммуникационной сети "Интернет" не позднее пятого числа месяца, следующего за прошедшим кварталом.</w:t>
      </w: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right"/>
        <w:outlineLvl w:val="0"/>
      </w:pPr>
      <w:r>
        <w:lastRenderedPageBreak/>
        <w:t>Приложение N 2</w:t>
      </w:r>
    </w:p>
    <w:p w:rsidR="006154CC" w:rsidRDefault="006154CC">
      <w:pPr>
        <w:pStyle w:val="ConsPlusNormal"/>
        <w:jc w:val="right"/>
      </w:pPr>
      <w:r>
        <w:t>к приказу Росреестра</w:t>
      </w:r>
    </w:p>
    <w:p w:rsidR="006154CC" w:rsidRDefault="006154CC">
      <w:pPr>
        <w:pStyle w:val="ConsPlusNormal"/>
        <w:jc w:val="right"/>
      </w:pPr>
      <w:r>
        <w:t>от 24 мая 2021 г. N П/0216</w:t>
      </w: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right"/>
      </w:pPr>
      <w:r>
        <w:t>Форма</w:t>
      </w:r>
    </w:p>
    <w:p w:rsidR="006154CC" w:rsidRDefault="006154CC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"/>
        <w:gridCol w:w="340"/>
        <w:gridCol w:w="567"/>
        <w:gridCol w:w="958"/>
        <w:gridCol w:w="340"/>
        <w:gridCol w:w="615"/>
        <w:gridCol w:w="842"/>
        <w:gridCol w:w="599"/>
        <w:gridCol w:w="1439"/>
        <w:gridCol w:w="340"/>
        <w:gridCol w:w="322"/>
        <w:gridCol w:w="544"/>
        <w:gridCol w:w="583"/>
        <w:gridCol w:w="609"/>
        <w:gridCol w:w="340"/>
      </w:tblGrid>
      <w:tr w:rsidR="006154CC">
        <w:tc>
          <w:tcPr>
            <w:tcW w:w="3690" w:type="dxa"/>
            <w:gridSpan w:val="6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5618" w:type="dxa"/>
            <w:gridSpan w:val="9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c>
          <w:tcPr>
            <w:tcW w:w="3690" w:type="dxa"/>
            <w:gridSpan w:val="6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5618" w:type="dxa"/>
            <w:gridSpan w:val="9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  <w:jc w:val="center"/>
            </w:pPr>
            <w:bookmarkStart w:id="9" w:name="P96"/>
            <w:bookmarkEnd w:id="9"/>
            <w:r>
              <w:t>Декларация о характеристиках объекта недвижимости</w:t>
            </w: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  <w:jc w:val="right"/>
              <w:outlineLvl w:val="1"/>
            </w:pPr>
            <w:r>
              <w:t>Раздел 1</w:t>
            </w: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Общие сведения об объекте недвижимости, заявителе (представителе заявителя)</w:t>
            </w: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61" w:type="dxa"/>
            <w:gridSpan w:val="7"/>
          </w:tcPr>
          <w:p w:rsidR="006154CC" w:rsidRDefault="006154CC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177" w:type="dxa"/>
            <w:gridSpan w:val="7"/>
          </w:tcPr>
          <w:p w:rsidR="006154CC" w:rsidRDefault="006154CC">
            <w:pPr>
              <w:pStyle w:val="ConsPlusNormal"/>
              <w:jc w:val="center"/>
            </w:pPr>
            <w:r>
              <w:t>Значение (описание) характеристики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438" w:type="dxa"/>
            <w:gridSpan w:val="14"/>
          </w:tcPr>
          <w:p w:rsidR="006154CC" w:rsidRDefault="006154CC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61" w:type="dxa"/>
            <w:gridSpan w:val="7"/>
          </w:tcPr>
          <w:p w:rsidR="006154CC" w:rsidRDefault="006154CC">
            <w:pPr>
              <w:pStyle w:val="ConsPlusNormal"/>
              <w:jc w:val="both"/>
            </w:pPr>
            <w: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4177" w:type="dxa"/>
            <w:gridSpan w:val="7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261" w:type="dxa"/>
            <w:gridSpan w:val="7"/>
          </w:tcPr>
          <w:p w:rsidR="006154CC" w:rsidRDefault="006154CC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4177" w:type="dxa"/>
            <w:gridSpan w:val="7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438" w:type="dxa"/>
            <w:gridSpan w:val="14"/>
          </w:tcPr>
          <w:p w:rsidR="006154CC" w:rsidRDefault="006154CC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61" w:type="dxa"/>
            <w:gridSpan w:val="7"/>
          </w:tcPr>
          <w:p w:rsidR="006154CC" w:rsidRDefault="006154CC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bookmarkStart w:id="10" w:name="P116"/>
            <w:bookmarkEnd w:id="10"/>
            <w:r>
              <w:t>2.2</w:t>
            </w:r>
          </w:p>
        </w:tc>
        <w:tc>
          <w:tcPr>
            <w:tcW w:w="4261" w:type="dxa"/>
            <w:gridSpan w:val="7"/>
          </w:tcPr>
          <w:p w:rsidR="006154CC" w:rsidRDefault="006154CC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177" w:type="dxa"/>
            <w:gridSpan w:val="7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261" w:type="dxa"/>
            <w:gridSpan w:val="7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177" w:type="dxa"/>
            <w:gridSpan w:val="7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438" w:type="dxa"/>
            <w:gridSpan w:val="14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261" w:type="dxa"/>
            <w:gridSpan w:val="7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r>
              <w:lastRenderedPageBreak/>
              <w:t>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261" w:type="dxa"/>
            <w:gridSpan w:val="7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4177" w:type="dxa"/>
            <w:gridSpan w:val="7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bookmarkStart w:id="11" w:name="P130"/>
            <w:bookmarkEnd w:id="11"/>
            <w:r>
              <w:t>3.3</w:t>
            </w:r>
          </w:p>
        </w:tc>
        <w:tc>
          <w:tcPr>
            <w:tcW w:w="4261" w:type="dxa"/>
            <w:gridSpan w:val="7"/>
          </w:tcPr>
          <w:p w:rsidR="006154CC" w:rsidRDefault="006154CC">
            <w:pPr>
              <w:pStyle w:val="ConsPlusNormal"/>
              <w:jc w:val="both"/>
            </w:pPr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4177" w:type="dxa"/>
            <w:gridSpan w:val="7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261" w:type="dxa"/>
            <w:gridSpan w:val="7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177" w:type="dxa"/>
            <w:gridSpan w:val="7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Merge w:val="restart"/>
          </w:tcPr>
          <w:p w:rsidR="006154CC" w:rsidRDefault="006154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6154CC">
        <w:tblPrEx>
          <w:tblBorders>
            <w:right w:val="single" w:sz="4" w:space="0" w:color="auto"/>
          </w:tblBorders>
        </w:tblPrEx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25" w:type="dxa"/>
            <w:gridSpan w:val="2"/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95" w:type="dxa"/>
            <w:gridSpan w:val="4"/>
          </w:tcPr>
          <w:p w:rsidR="006154CC" w:rsidRDefault="006154CC">
            <w:pPr>
              <w:pStyle w:val="ConsPlusNormal"/>
              <w:jc w:val="center"/>
            </w:pPr>
            <w:r>
              <w:t>(фамилия имя отчество</w:t>
            </w:r>
          </w:p>
          <w:p w:rsidR="006154CC" w:rsidRDefault="006154CC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58" w:type="dxa"/>
            <w:gridSpan w:val="4"/>
          </w:tcPr>
          <w:p w:rsidR="006154CC" w:rsidRDefault="006154C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362" w:type="dxa"/>
            <w:gridSpan w:val="10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2076" w:type="dxa"/>
            <w:gridSpan w:val="4"/>
          </w:tcPr>
          <w:p w:rsidR="006154CC" w:rsidRDefault="006154CC">
            <w:pPr>
              <w:pStyle w:val="ConsPlusNormal"/>
            </w:pPr>
          </w:p>
        </w:tc>
      </w:tr>
      <w:tr w:rsidR="006154CC">
        <w:tc>
          <w:tcPr>
            <w:tcW w:w="87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362" w:type="dxa"/>
            <w:gridSpan w:val="10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76" w:type="dxa"/>
            <w:gridSpan w:val="4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154CC">
        <w:tc>
          <w:tcPr>
            <w:tcW w:w="87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362" w:type="dxa"/>
            <w:gridSpan w:val="10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76" w:type="dxa"/>
            <w:gridSpan w:val="4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94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8438" w:type="dxa"/>
            <w:gridSpan w:val="14"/>
            <w:tcBorders>
              <w:top w:val="nil"/>
              <w:bottom w:val="nil"/>
            </w:tcBorders>
            <w:vAlign w:val="center"/>
          </w:tcPr>
          <w:p w:rsidR="006154CC" w:rsidRDefault="006154CC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16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</w:t>
            </w:r>
            <w:r>
              <w:lastRenderedPageBreak/>
              <w:t xml:space="preserve">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 w:rsidR="006154CC" w:rsidRDefault="006154CC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8438" w:type="dxa"/>
            <w:gridSpan w:val="14"/>
            <w:tcBorders>
              <w:top w:val="nil"/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25" w:type="dxa"/>
            <w:gridSpan w:val="2"/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95" w:type="dxa"/>
            <w:gridSpan w:val="4"/>
          </w:tcPr>
          <w:p w:rsidR="006154CC" w:rsidRDefault="006154CC">
            <w:pPr>
              <w:pStyle w:val="ConsPlusNormal"/>
              <w:jc w:val="center"/>
            </w:pPr>
            <w:r>
              <w:t>(фамилия имя отчество</w:t>
            </w:r>
          </w:p>
          <w:p w:rsidR="006154CC" w:rsidRDefault="006154CC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58" w:type="dxa"/>
            <w:gridSpan w:val="4"/>
          </w:tcPr>
          <w:p w:rsidR="006154CC" w:rsidRDefault="006154C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  <w:jc w:val="right"/>
              <w:outlineLvl w:val="1"/>
            </w:pPr>
            <w:r>
              <w:t>Раздел 2</w:t>
            </w: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Характеристики объекта недвижимости (для земельного участка)</w:t>
            </w: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62" w:type="dxa"/>
            <w:gridSpan w:val="6"/>
          </w:tcPr>
          <w:p w:rsidR="006154CC" w:rsidRDefault="006154CC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664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62" w:type="dxa"/>
            <w:gridSpan w:val="6"/>
          </w:tcPr>
          <w:p w:rsidR="006154CC" w:rsidRDefault="006154CC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6154CC" w:rsidRDefault="006154CC">
            <w:pPr>
              <w:pStyle w:val="ConsPlusNormal"/>
            </w:pPr>
          </w:p>
        </w:tc>
      </w:tr>
      <w:tr w:rsidR="006154CC">
        <w:tc>
          <w:tcPr>
            <w:tcW w:w="87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154CC">
        <w:tc>
          <w:tcPr>
            <w:tcW w:w="87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6154CC" w:rsidRDefault="006154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Площадь, кв. м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Вид (виды) разрешенного использования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 xml:space="preserve">Сведения о том, что земельный </w:t>
            </w:r>
            <w:r>
              <w:lastRenderedPageBreak/>
              <w:t>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Удаленность земельного участка от автомобильных дорог (в метрах)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6154CC" w:rsidRDefault="006154CC">
            <w:pPr>
              <w:pStyle w:val="ConsPlusNormal"/>
            </w:pPr>
          </w:p>
        </w:tc>
      </w:tr>
      <w:tr w:rsidR="006154CC">
        <w:tc>
          <w:tcPr>
            <w:tcW w:w="87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154CC">
        <w:tc>
          <w:tcPr>
            <w:tcW w:w="87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</w:pP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Наличие/отсутствие подключения к электрическим сетям инженерно-технического обеспечения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Возможность/отсутствие возможности подключения к электрическим сетям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lastRenderedPageBreak/>
              <w:t>13.2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6154CC" w:rsidRDefault="006154CC">
            <w:pPr>
              <w:pStyle w:val="ConsPlusNormal"/>
            </w:pPr>
          </w:p>
        </w:tc>
      </w:tr>
      <w:tr w:rsidR="006154CC">
        <w:tc>
          <w:tcPr>
            <w:tcW w:w="87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154CC">
        <w:tc>
          <w:tcPr>
            <w:tcW w:w="87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13.5.2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Удаленность земельного участка от железных дорог (в метрах)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 xml:space="preserve">Удаленность земельного участка от железнодорожных вокзалов/станций </w:t>
            </w:r>
            <w:r>
              <w:lastRenderedPageBreak/>
              <w:t>(в метрах)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Вид сельскохозяйственных угодий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25" w:type="dxa"/>
            <w:gridSpan w:val="2"/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95" w:type="dxa"/>
            <w:gridSpan w:val="4"/>
          </w:tcPr>
          <w:p w:rsidR="006154CC" w:rsidRDefault="006154CC">
            <w:pPr>
              <w:pStyle w:val="ConsPlusNormal"/>
              <w:jc w:val="center"/>
            </w:pPr>
            <w:r>
              <w:t>(фамилия имя отчество</w:t>
            </w:r>
          </w:p>
          <w:p w:rsidR="006154CC" w:rsidRDefault="006154CC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58" w:type="dxa"/>
            <w:gridSpan w:val="4"/>
          </w:tcPr>
          <w:p w:rsidR="006154CC" w:rsidRDefault="006154C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H w:val="single" w:sz="4" w:space="0" w:color="auto"/>
          </w:tblBorders>
        </w:tblPrEx>
        <w:tc>
          <w:tcPr>
            <w:tcW w:w="7776" w:type="dxa"/>
            <w:gridSpan w:val="12"/>
            <w:tcBorders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6154CC" w:rsidRDefault="006154CC">
            <w:pPr>
              <w:pStyle w:val="ConsPlusNormal"/>
              <w:jc w:val="both"/>
            </w:pPr>
          </w:p>
        </w:tc>
      </w:tr>
      <w:tr w:rsidR="006154CC">
        <w:tc>
          <w:tcPr>
            <w:tcW w:w="7776" w:type="dxa"/>
            <w:gridSpan w:val="12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  <w:jc w:val="right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  <w:jc w:val="right"/>
              <w:outlineLvl w:val="1"/>
            </w:pPr>
            <w:r>
              <w:t>Раздел 3</w:t>
            </w: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Характеристики объекта недвижимости (для здания, помещения, сооружения, объекта незавершенного строительства, машино-места)</w:t>
            </w: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62" w:type="dxa"/>
            <w:gridSpan w:val="6"/>
          </w:tcPr>
          <w:p w:rsidR="006154CC" w:rsidRDefault="006154CC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  <w:jc w:val="center"/>
            </w:pPr>
            <w:r>
              <w:t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738" w:type="dxa"/>
            <w:gridSpan w:val="6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664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6154CC" w:rsidRDefault="006154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Площадь, кв. м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(протяженность, глубина, глубина </w:t>
            </w:r>
            <w:r>
              <w:lastRenderedPageBreak/>
              <w:t>залегания, площадь, объем, высота, площадь застройки объекта недвижимости)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подземный этаж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6154CC" w:rsidRDefault="006154CC">
            <w:pPr>
              <w:pStyle w:val="ConsPlusNormal"/>
            </w:pPr>
          </w:p>
        </w:tc>
      </w:tr>
      <w:tr w:rsidR="006154CC">
        <w:tc>
          <w:tcPr>
            <w:tcW w:w="87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154CC">
        <w:tc>
          <w:tcPr>
            <w:tcW w:w="87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6154CC" w:rsidRDefault="006154CC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технический этаж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мансардный этаж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иные типы этажей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6154CC" w:rsidRDefault="006154C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Серия многоквартирного дома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6154CC" w:rsidRDefault="006154C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Вид жилого помещения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Вид или виды разрешенного использования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bottom"/>
          </w:tcPr>
          <w:p w:rsidR="006154CC" w:rsidRDefault="006154C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Процент физического износа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6154CC" w:rsidRDefault="006154CC">
            <w:pPr>
              <w:pStyle w:val="ConsPlusNormal"/>
            </w:pPr>
          </w:p>
        </w:tc>
      </w:tr>
      <w:tr w:rsidR="006154CC">
        <w:tc>
          <w:tcPr>
            <w:tcW w:w="87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154CC">
        <w:tc>
          <w:tcPr>
            <w:tcW w:w="87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Наличие/отсутствие подключения к электрическим сетям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23.2.2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 xml:space="preserve">Возможность/отсутствие возможности подключения к сетям </w:t>
            </w:r>
            <w:r>
              <w:lastRenderedPageBreak/>
              <w:t>газораспределения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23.2.3</w:t>
            </w:r>
          </w:p>
        </w:tc>
        <w:tc>
          <w:tcPr>
            <w:tcW w:w="3662" w:type="dxa"/>
            <w:gridSpan w:val="6"/>
            <w:vAlign w:val="bottom"/>
          </w:tcPr>
          <w:p w:rsidR="006154CC" w:rsidRDefault="006154CC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23.3.1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23.3.2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23.4.1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6154CC" w:rsidRDefault="006154CC">
            <w:pPr>
              <w:pStyle w:val="ConsPlusNormal"/>
            </w:pPr>
          </w:p>
        </w:tc>
      </w:tr>
      <w:tr w:rsidR="006154CC">
        <w:tc>
          <w:tcPr>
            <w:tcW w:w="87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</w:tr>
      <w:tr w:rsidR="006154CC">
        <w:tc>
          <w:tcPr>
            <w:tcW w:w="87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23.4.2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23.5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23.5.1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23.5.2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62" w:type="dxa"/>
            <w:gridSpan w:val="6"/>
            <w:vAlign w:val="center"/>
          </w:tcPr>
          <w:p w:rsidR="006154CC" w:rsidRDefault="006154CC">
            <w:pPr>
              <w:pStyle w:val="ConsPlusNormal"/>
              <w:jc w:val="both"/>
            </w:pPr>
            <w:r>
              <w:t>Иные характеристики объекта недвижимости</w:t>
            </w:r>
          </w:p>
        </w:tc>
        <w:tc>
          <w:tcPr>
            <w:tcW w:w="2038" w:type="dxa"/>
            <w:gridSpan w:val="2"/>
          </w:tcPr>
          <w:p w:rsidR="006154CC" w:rsidRDefault="006154CC">
            <w:pPr>
              <w:pStyle w:val="ConsPlusNormal"/>
            </w:pPr>
          </w:p>
        </w:tc>
        <w:tc>
          <w:tcPr>
            <w:tcW w:w="2738" w:type="dxa"/>
            <w:gridSpan w:val="6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25" w:type="dxa"/>
            <w:gridSpan w:val="2"/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95" w:type="dxa"/>
            <w:gridSpan w:val="4"/>
          </w:tcPr>
          <w:p w:rsidR="006154CC" w:rsidRDefault="006154CC">
            <w:pPr>
              <w:pStyle w:val="ConsPlusNormal"/>
              <w:jc w:val="center"/>
            </w:pPr>
            <w:r>
              <w:t>(фамилия имя отчество</w:t>
            </w:r>
          </w:p>
          <w:p w:rsidR="006154CC" w:rsidRDefault="006154CC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58" w:type="dxa"/>
            <w:gridSpan w:val="4"/>
          </w:tcPr>
          <w:p w:rsidR="006154CC" w:rsidRDefault="006154C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  <w:jc w:val="right"/>
              <w:outlineLvl w:val="1"/>
            </w:pPr>
            <w:bookmarkStart w:id="12" w:name="P664"/>
            <w:bookmarkEnd w:id="12"/>
            <w:r>
              <w:t>Раздел 4</w:t>
            </w: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Реестр документов (копий документов) и материалов, прилагаемых к декларации</w:t>
            </w:r>
          </w:p>
        </w:tc>
      </w:tr>
      <w:tr w:rsidR="006154CC">
        <w:tblPrEx>
          <w:tblBorders>
            <w:insideV w:val="single" w:sz="4" w:space="0" w:color="auto"/>
          </w:tblBorders>
        </w:tblPrEx>
        <w:tc>
          <w:tcPr>
            <w:tcW w:w="9308" w:type="dxa"/>
            <w:gridSpan w:val="15"/>
            <w:tcBorders>
              <w:top w:val="nil"/>
              <w:left w:val="nil"/>
              <w:right w:val="nil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38" w:type="dxa"/>
            <w:gridSpan w:val="14"/>
          </w:tcPr>
          <w:p w:rsidR="006154CC" w:rsidRDefault="006154CC">
            <w:pPr>
              <w:pStyle w:val="ConsPlusNormal"/>
              <w:jc w:val="center"/>
            </w:pPr>
            <w: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</w:pPr>
          </w:p>
        </w:tc>
        <w:tc>
          <w:tcPr>
            <w:tcW w:w="8438" w:type="dxa"/>
            <w:gridSpan w:val="14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</w:pPr>
          </w:p>
        </w:tc>
        <w:tc>
          <w:tcPr>
            <w:tcW w:w="8438" w:type="dxa"/>
            <w:gridSpan w:val="14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0" w:type="dxa"/>
          </w:tcPr>
          <w:p w:rsidR="006154CC" w:rsidRDefault="006154CC">
            <w:pPr>
              <w:pStyle w:val="ConsPlusNormal"/>
            </w:pPr>
          </w:p>
        </w:tc>
        <w:tc>
          <w:tcPr>
            <w:tcW w:w="8438" w:type="dxa"/>
            <w:gridSpan w:val="14"/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8438" w:type="dxa"/>
            <w:gridSpan w:val="14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25" w:type="dxa"/>
            <w:gridSpan w:val="2"/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3495" w:type="dxa"/>
            <w:gridSpan w:val="4"/>
          </w:tcPr>
          <w:p w:rsidR="006154CC" w:rsidRDefault="006154CC">
            <w:pPr>
              <w:pStyle w:val="ConsPlusNormal"/>
              <w:jc w:val="center"/>
            </w:pPr>
            <w:r>
              <w:t>(фамилия имя отчество</w:t>
            </w:r>
          </w:p>
          <w:p w:rsidR="006154CC" w:rsidRDefault="006154CC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top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2058" w:type="dxa"/>
            <w:gridSpan w:val="4"/>
          </w:tcPr>
          <w:p w:rsidR="006154CC" w:rsidRDefault="006154CC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154CC" w:rsidRDefault="006154CC">
            <w:pPr>
              <w:pStyle w:val="ConsPlusNormal"/>
            </w:pPr>
          </w:p>
        </w:tc>
      </w:tr>
      <w:tr w:rsidR="006154CC">
        <w:tblPrEx>
          <w:tblBorders>
            <w:insideH w:val="single" w:sz="4" w:space="0" w:color="auto"/>
          </w:tblBorders>
        </w:tblPrEx>
        <w:tc>
          <w:tcPr>
            <w:tcW w:w="870" w:type="dxa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nil"/>
            </w:tcBorders>
            <w:vAlign w:val="center"/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</w:tcPr>
          <w:p w:rsidR="006154CC" w:rsidRDefault="006154CC">
            <w:pPr>
              <w:pStyle w:val="ConsPlusNormal"/>
            </w:pPr>
          </w:p>
        </w:tc>
      </w:tr>
      <w:tr w:rsidR="006154CC">
        <w:tc>
          <w:tcPr>
            <w:tcW w:w="870" w:type="dxa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nil"/>
              <w:bottom w:val="nil"/>
            </w:tcBorders>
          </w:tcPr>
          <w:p w:rsidR="006154CC" w:rsidRDefault="006154CC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nil"/>
            </w:tcBorders>
          </w:tcPr>
          <w:p w:rsidR="006154CC" w:rsidRDefault="006154CC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jc w:val="both"/>
      </w:pPr>
    </w:p>
    <w:p w:rsidR="006154CC" w:rsidRDefault="006154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726D" w:rsidRDefault="00FF726D">
      <w:bookmarkStart w:id="13" w:name="_GoBack"/>
      <w:bookmarkEnd w:id="13"/>
    </w:p>
    <w:sectPr w:rsidR="00FF726D" w:rsidSect="0085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CC"/>
    <w:rsid w:val="006154CC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D049D-2ACB-4466-9E2E-29E8ECFF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4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154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54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709DB3841BC3CA323E6914C76921B4C24A4D0BDF11A2077AA79474BBE9481DC85E9DE6CAB863CC36E45B5DCEECC155CA8F9A8564B6DF68A9FDI" TargetMode="External"/><Relationship Id="rId13" Type="http://schemas.openxmlformats.org/officeDocument/2006/relationships/hyperlink" Target="consultantplus://offline/ref=1F709DB3841BC3CA323E6914C76921B4C2484107DB13A2077AA79474BBE9481DC85E9DE3CFB3369471BA020E82A7CD56DC939B86A7F8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709DB3841BC3CA323E6914C76921B4C54B4706DF13A2077AA79474BBE9481DDA5EC5EAC8B07CC434F10D0C88ABFBI" TargetMode="External"/><Relationship Id="rId12" Type="http://schemas.openxmlformats.org/officeDocument/2006/relationships/hyperlink" Target="consultantplus://offline/ref=1F709DB3841BC3CA323E6914C76921B4C2484107DB13A2077AA79474BBE9481DC85E9DE6CFB1699164AB5A0188B1D256C38F998478ABF6I" TargetMode="External"/><Relationship Id="rId17" Type="http://schemas.openxmlformats.org/officeDocument/2006/relationships/hyperlink" Target="consultantplus://offline/ref=1F709DB3841BC3CA323E6914C76921B4C2484107DB13A2077AA79474BBE9481DDA5EC5EAC8B07CC434F10D0C88ABF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F709DB3841BC3CA323E6914C76921B4C24A460DDC16A2077AA79474BBE9481DC85E9DE6CAB860C63CE45B5DCEECC155CA8F9A8564B6DF68A9F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709DB3841BC3CA323E6914C76921B4C24A4407DC10A2077AA79474BBE9481DC85E9DE1CCB3369471BA020E82A7CD56DC939B86A7F8I" TargetMode="External"/><Relationship Id="rId11" Type="http://schemas.openxmlformats.org/officeDocument/2006/relationships/hyperlink" Target="consultantplus://offline/ref=1F709DB3841BC3CA323E6914C76921B4C2484107DB13A2077AA79474BBE9481DC85E9DE6C9BF699164AB5A0188B1D256C38F998478ABF6I" TargetMode="External"/><Relationship Id="rId5" Type="http://schemas.openxmlformats.org/officeDocument/2006/relationships/hyperlink" Target="consultantplus://offline/ref=1F709DB3841BC3CA323E6914C76921B4C2484107DB13A2077AA79474BBE9481DC85E9DE6CAB862CC31E45B5DCEECC155CA8F9A8564B6DF68A9FDI" TargetMode="External"/><Relationship Id="rId15" Type="http://schemas.openxmlformats.org/officeDocument/2006/relationships/hyperlink" Target="consultantplus://offline/ref=1F709DB3841BC3CA323E6914C76921B4C2484107DB13A2077AA79474BBE9481DC85E9DE6CFB1699164AB5A0188B1D256C38F998478ABF6I" TargetMode="External"/><Relationship Id="rId10" Type="http://schemas.openxmlformats.org/officeDocument/2006/relationships/hyperlink" Target="consultantplus://offline/ref=1F709DB3841BC3CA323E6914C76921B4C2484107DB13A2077AA79474BBE9481DC85E9DE3CEB3369471BA020E82A7CD56DC939B86A7F8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F709DB3841BC3CA323E6914C76921B4C2494607DE13A2077AA79474BBE9481DC85E9DE6CAB862C331E45B5DCEECC155CA8F9A8564B6DF68A9FDI" TargetMode="External"/><Relationship Id="rId14" Type="http://schemas.openxmlformats.org/officeDocument/2006/relationships/hyperlink" Target="consultantplus://offline/ref=1F709DB3841BC3CA323E6914C76921B4C2484107DB13A2077AA79474BBE9481DC85E9DE6C9B0699164AB5A0188B1D256C38F998478ABF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Олеся Владимировна</dc:creator>
  <cp:keywords/>
  <dc:description/>
  <cp:lastModifiedBy>Осипова Олеся Владимировна</cp:lastModifiedBy>
  <cp:revision>1</cp:revision>
  <dcterms:created xsi:type="dcterms:W3CDTF">2022-11-28T08:04:00Z</dcterms:created>
  <dcterms:modified xsi:type="dcterms:W3CDTF">2022-11-28T08:05:00Z</dcterms:modified>
</cp:coreProperties>
</file>